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ED" w:rsidRPr="00D317ED" w:rsidRDefault="00D317ED" w:rsidP="00D317ED">
      <w:pPr>
        <w:shd w:val="clear" w:color="auto" w:fill="FFFFFF"/>
        <w:spacing w:line="312" w:lineRule="atLeast"/>
        <w:outlineLvl w:val="0"/>
        <w:rPr>
          <w:rFonts w:asciiTheme="majorHAnsi" w:eastAsia="Times New Roman" w:hAnsiTheme="majorHAnsi" w:cs="Arial"/>
          <w:caps/>
          <w:color w:val="872B02"/>
          <w:kern w:val="36"/>
          <w:sz w:val="44"/>
          <w:szCs w:val="44"/>
        </w:rPr>
      </w:pPr>
      <w:bookmarkStart w:id="0" w:name="_GoBack"/>
      <w:bookmarkEnd w:id="0"/>
      <w:r w:rsidRPr="00D317ED">
        <w:rPr>
          <w:rFonts w:asciiTheme="majorHAnsi" w:eastAsia="Times New Roman" w:hAnsiTheme="majorHAnsi" w:cs="Arial"/>
          <w:caps/>
          <w:color w:val="872B02"/>
          <w:kern w:val="36"/>
          <w:sz w:val="44"/>
          <w:szCs w:val="44"/>
        </w:rPr>
        <w:t>Department, Center or Institute Administrator</w:t>
      </w:r>
    </w:p>
    <w:p w:rsidR="00965CB5" w:rsidRPr="00C128FB" w:rsidRDefault="00965CB5" w:rsidP="00965CB5">
      <w:pPr>
        <w:shd w:val="clear" w:color="auto" w:fill="FFFFFF"/>
        <w:spacing w:before="240" w:after="60" w:line="240" w:lineRule="atLeast"/>
        <w:outlineLvl w:val="1"/>
        <w:rPr>
          <w:rFonts w:asciiTheme="majorHAnsi" w:eastAsia="Times New Roman" w:hAnsiTheme="majorHAnsi" w:cs="Arial"/>
          <w:b/>
          <w:bCs/>
          <w:caps/>
          <w:color w:val="B93B02"/>
          <w:sz w:val="36"/>
          <w:szCs w:val="36"/>
        </w:rPr>
      </w:pPr>
      <w:r w:rsidRPr="00C128FB">
        <w:rPr>
          <w:rFonts w:asciiTheme="majorHAnsi" w:eastAsia="Times New Roman" w:hAnsiTheme="majorHAnsi" w:cs="Arial"/>
          <w:b/>
          <w:bCs/>
          <w:caps/>
          <w:color w:val="B93B02"/>
          <w:sz w:val="36"/>
          <w:szCs w:val="36"/>
        </w:rPr>
        <w:t>OVERALL ROLE/RESPONSIBILITY</w:t>
      </w:r>
    </w:p>
    <w:p w:rsidR="00965CB5" w:rsidRPr="00C128FB" w:rsidRDefault="00965CB5" w:rsidP="00965CB5">
      <w:pPr>
        <w:shd w:val="clear" w:color="auto" w:fill="FFFFFF"/>
        <w:spacing w:before="240" w:after="240" w:line="270" w:lineRule="atLeast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b/>
          <w:bCs/>
          <w:color w:val="212330"/>
          <w:sz w:val="21"/>
          <w:szCs w:val="21"/>
        </w:rPr>
        <w:t>This role includes, but is not limited to, the following: business administrator, center administrator, department administrator, financial administrator, research administrator, and research coordinator in departments, centers and institutes.</w:t>
      </w:r>
    </w:p>
    <w:p w:rsidR="00965CB5" w:rsidRPr="00C128FB" w:rsidRDefault="00965CB5" w:rsidP="00965CB5">
      <w:pPr>
        <w:shd w:val="clear" w:color="auto" w:fill="FFFFFF"/>
        <w:spacing w:before="240" w:after="240" w:line="270" w:lineRule="atLeast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Provide support for Principal Investigator's (PI) research pursuits while ensuring adherence to all applicable regulations and policies. Support PI with fiscal and administrative management of research.</w:t>
      </w:r>
    </w:p>
    <w:p w:rsidR="00965CB5" w:rsidRDefault="00965CB5" w:rsidP="00965CB5">
      <w:pPr>
        <w:shd w:val="clear" w:color="auto" w:fill="FFFFFF"/>
        <w:tabs>
          <w:tab w:val="left" w:pos="6790"/>
        </w:tabs>
        <w:spacing w:before="240" w:after="60" w:line="240" w:lineRule="atLeast"/>
        <w:outlineLvl w:val="1"/>
        <w:rPr>
          <w:rFonts w:asciiTheme="majorHAnsi" w:eastAsia="Times New Roman" w:hAnsiTheme="majorHAnsi" w:cs="Arial"/>
          <w:b/>
          <w:bCs/>
          <w:caps/>
          <w:color w:val="B93B02"/>
          <w:sz w:val="36"/>
          <w:szCs w:val="36"/>
        </w:rPr>
      </w:pPr>
      <w:bookmarkStart w:id="1" w:name="proposals"/>
      <w:bookmarkEnd w:id="1"/>
      <w:r w:rsidRPr="00C128FB">
        <w:rPr>
          <w:rFonts w:asciiTheme="majorHAnsi" w:eastAsia="Times New Roman" w:hAnsiTheme="majorHAnsi" w:cs="Arial"/>
          <w:b/>
          <w:bCs/>
          <w:caps/>
          <w:color w:val="B93B02"/>
          <w:sz w:val="36"/>
          <w:szCs w:val="36"/>
        </w:rPr>
        <w:t>PROPOSALS AND AWARDS</w:t>
      </w:r>
      <w:bookmarkStart w:id="2" w:name="pre"/>
      <w:bookmarkEnd w:id="2"/>
      <w:r>
        <w:rPr>
          <w:rFonts w:asciiTheme="majorHAnsi" w:eastAsia="Times New Roman" w:hAnsiTheme="majorHAnsi" w:cs="Arial"/>
          <w:b/>
          <w:bCs/>
          <w:caps/>
          <w:color w:val="B93B02"/>
          <w:sz w:val="36"/>
          <w:szCs w:val="36"/>
        </w:rPr>
        <w:tab/>
      </w:r>
    </w:p>
    <w:p w:rsidR="00965CB5" w:rsidRPr="00F40FEA" w:rsidRDefault="00CB1056" w:rsidP="00965CB5">
      <w:pPr>
        <w:shd w:val="clear" w:color="auto" w:fill="FFFFFF"/>
        <w:spacing w:before="240" w:after="60" w:line="240" w:lineRule="atLeast"/>
        <w:outlineLvl w:val="1"/>
        <w:rPr>
          <w:rFonts w:asciiTheme="majorHAnsi" w:eastAsia="Times New Roman" w:hAnsiTheme="majorHAnsi" w:cs="Arial"/>
          <w:b/>
          <w:bCs/>
          <w:caps/>
          <w:color w:val="B93B02"/>
          <w:sz w:val="36"/>
          <w:szCs w:val="36"/>
        </w:rPr>
      </w:pPr>
      <w:hyperlink r:id="rId5" w:history="1">
        <w:r w:rsidR="00965CB5" w:rsidRPr="00C128FB">
          <w:rPr>
            <w:rFonts w:asciiTheme="majorHAnsi" w:eastAsia="Times New Roman" w:hAnsiTheme="majorHAnsi" w:cs="Arial"/>
            <w:b/>
            <w:bCs/>
            <w:caps/>
            <w:color w:val="42396D"/>
            <w:sz w:val="29"/>
            <w:szCs w:val="29"/>
            <w:u w:val="single"/>
          </w:rPr>
          <w:t>PRE-AWARD</w:t>
        </w:r>
      </w:hyperlink>
    </w:p>
    <w:p w:rsidR="00965CB5" w:rsidRPr="00C128FB" w:rsidRDefault="00965CB5" w:rsidP="00965CB5">
      <w:pPr>
        <w:shd w:val="clear" w:color="auto" w:fill="FFFFFF"/>
        <w:spacing w:line="240" w:lineRule="atLeast"/>
        <w:outlineLvl w:val="3"/>
        <w:rPr>
          <w:rFonts w:asciiTheme="majorHAnsi" w:eastAsia="Times New Roman" w:hAnsiTheme="majorHAnsi" w:cs="Arial"/>
          <w:b/>
          <w:bCs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b/>
          <w:bCs/>
          <w:color w:val="212330"/>
          <w:sz w:val="21"/>
          <w:szCs w:val="21"/>
        </w:rPr>
        <w:t>Proposal Submission</w:t>
      </w:r>
    </w:p>
    <w:p w:rsidR="00965CB5" w:rsidRDefault="00965CB5" w:rsidP="00965CB5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Assist PI to develop and coordinate budgets</w:t>
      </w: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 and budget justifications</w:t>
      </w: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 including subcontracts and cost sharing, as applicable</w:t>
      </w:r>
    </w:p>
    <w:p w:rsidR="00965CB5" w:rsidRPr="00C128FB" w:rsidRDefault="00965CB5" w:rsidP="00965CB5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Examine proposal for fiscal viability including accuracy of tuition, salary, and fringe benefit rates; accurate categorization of expenses, </w:t>
      </w:r>
    </w:p>
    <w:p w:rsidR="00965CB5" w:rsidRDefault="00965CB5" w:rsidP="00965CB5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7A2009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Calculate and apply appropriate F&amp;A rates </w:t>
      </w:r>
    </w:p>
    <w:p w:rsidR="00965CB5" w:rsidRPr="007A2009" w:rsidRDefault="00965CB5" w:rsidP="00965CB5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Assist PI to c</w:t>
      </w:r>
      <w:r w:rsidRPr="007A2009">
        <w:rPr>
          <w:rFonts w:asciiTheme="majorHAnsi" w:eastAsia="Times New Roman" w:hAnsiTheme="majorHAnsi" w:cs="Arial"/>
          <w:color w:val="212330"/>
          <w:sz w:val="21"/>
          <w:szCs w:val="21"/>
        </w:rPr>
        <w:t>reate and route External Proposal Transmittal Form for approvals</w:t>
      </w:r>
    </w:p>
    <w:p w:rsidR="00965CB5" w:rsidRPr="00C128FB" w:rsidRDefault="00965CB5" w:rsidP="00965CB5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Serve as liaison </w:t>
      </w: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with the Office </w:t>
      </w:r>
      <w:r w:rsidR="00CB1056">
        <w:rPr>
          <w:rFonts w:asciiTheme="majorHAnsi" w:eastAsia="Times New Roman" w:hAnsiTheme="majorHAnsi" w:cs="Arial"/>
          <w:color w:val="212330"/>
          <w:sz w:val="21"/>
          <w:szCs w:val="21"/>
        </w:rPr>
        <w:t>of Sponsored Programs</w:t>
      </w: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 (O</w:t>
      </w:r>
      <w:r w:rsidR="00CB1056">
        <w:rPr>
          <w:rFonts w:asciiTheme="majorHAnsi" w:eastAsia="Times New Roman" w:hAnsiTheme="majorHAnsi" w:cs="Arial"/>
          <w:color w:val="212330"/>
          <w:sz w:val="21"/>
          <w:szCs w:val="21"/>
        </w:rPr>
        <w:t>SP</w:t>
      </w:r>
      <w:r>
        <w:rPr>
          <w:rFonts w:asciiTheme="majorHAnsi" w:eastAsia="Times New Roman" w:hAnsiTheme="majorHAnsi" w:cs="Arial"/>
          <w:color w:val="212330"/>
          <w:sz w:val="21"/>
          <w:szCs w:val="21"/>
        </w:rPr>
        <w:t>) to ensure timely and complete proposal submissions.</w:t>
      </w:r>
    </w:p>
    <w:p w:rsidR="00965CB5" w:rsidRDefault="00965CB5" w:rsidP="00965CB5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Communicate proposal deadlines, pre-award processes and policies to PI</w:t>
      </w:r>
    </w:p>
    <w:p w:rsidR="00965CB5" w:rsidRDefault="00965CB5" w:rsidP="00965CB5">
      <w:pPr>
        <w:numPr>
          <w:ilvl w:val="0"/>
          <w:numId w:val="2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Track pending proposals, status of contracts, account set-ups and sub-awards as applicable</w:t>
      </w:r>
    </w:p>
    <w:p w:rsidR="00965CB5" w:rsidRPr="00C128FB" w:rsidRDefault="00965CB5" w:rsidP="00965CB5">
      <w:pPr>
        <w:shd w:val="clear" w:color="auto" w:fill="FFFFFF"/>
        <w:spacing w:after="60" w:line="270" w:lineRule="atLeast"/>
        <w:rPr>
          <w:rFonts w:asciiTheme="majorHAnsi" w:eastAsia="Times New Roman" w:hAnsiTheme="majorHAnsi" w:cs="Arial"/>
          <w:color w:val="212330"/>
          <w:sz w:val="21"/>
          <w:szCs w:val="21"/>
        </w:rPr>
      </w:pPr>
    </w:p>
    <w:p w:rsidR="00965CB5" w:rsidRPr="00C128FB" w:rsidRDefault="00965CB5" w:rsidP="00965CB5">
      <w:pPr>
        <w:shd w:val="clear" w:color="auto" w:fill="FFFFFF"/>
        <w:spacing w:line="240" w:lineRule="atLeast"/>
        <w:outlineLvl w:val="3"/>
        <w:rPr>
          <w:rFonts w:asciiTheme="majorHAnsi" w:eastAsia="Times New Roman" w:hAnsiTheme="majorHAnsi" w:cs="Arial"/>
          <w:b/>
          <w:bCs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b/>
          <w:bCs/>
          <w:color w:val="212330"/>
          <w:sz w:val="21"/>
          <w:szCs w:val="21"/>
        </w:rPr>
        <w:t>Pre-Award Set-Up</w:t>
      </w:r>
    </w:p>
    <w:p w:rsidR="00965CB5" w:rsidRPr="00C128FB" w:rsidRDefault="00965CB5" w:rsidP="00965CB5">
      <w:pPr>
        <w:numPr>
          <w:ilvl w:val="0"/>
          <w:numId w:val="3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Request pre-spending account from </w:t>
      </w:r>
      <w:r w:rsidR="00CB1056">
        <w:rPr>
          <w:rFonts w:asciiTheme="majorHAnsi" w:eastAsia="Times New Roman" w:hAnsiTheme="majorHAnsi" w:cs="Arial"/>
          <w:color w:val="212330"/>
          <w:sz w:val="21"/>
          <w:szCs w:val="21"/>
        </w:rPr>
        <w:t>OSP</w:t>
      </w: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 and provide guaranteed non-sponsored </w:t>
      </w: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support in the event the award is not funded or expenditures fall outside of the 90 day pre-award period </w:t>
      </w:r>
    </w:p>
    <w:p w:rsidR="00965CB5" w:rsidRPr="00C128FB" w:rsidRDefault="00965CB5" w:rsidP="00965CB5">
      <w:pPr>
        <w:numPr>
          <w:ilvl w:val="0"/>
          <w:numId w:val="3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Assist PI with "Just in Time" documentation request from sponsor</w:t>
      </w:r>
    </w:p>
    <w:p w:rsidR="00965CB5" w:rsidRPr="00C128FB" w:rsidRDefault="00965CB5" w:rsidP="00965CB5">
      <w:pPr>
        <w:numPr>
          <w:ilvl w:val="0"/>
          <w:numId w:val="3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Support PI when modifying project scope by coordinating all associated administrative items, including budget</w:t>
      </w:r>
    </w:p>
    <w:bookmarkStart w:id="3" w:name="post"/>
    <w:bookmarkEnd w:id="3"/>
    <w:p w:rsidR="00965CB5" w:rsidRPr="00C128FB" w:rsidRDefault="00965CB5" w:rsidP="00965CB5">
      <w:pPr>
        <w:shd w:val="clear" w:color="auto" w:fill="FFFFFF"/>
        <w:spacing w:before="200" w:after="161" w:line="240" w:lineRule="atLeast"/>
        <w:outlineLvl w:val="2"/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</w:pP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begin"/>
      </w: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instrText xml:space="preserve"> HYPERLINK "http://osr.northwestern.edu/" </w:instrText>
      </w: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separate"/>
      </w:r>
      <w:r w:rsidRPr="00C128FB">
        <w:rPr>
          <w:rFonts w:asciiTheme="majorHAnsi" w:eastAsia="Times New Roman" w:hAnsiTheme="majorHAnsi" w:cs="Arial"/>
          <w:b/>
          <w:bCs/>
          <w:caps/>
          <w:color w:val="42396D"/>
          <w:sz w:val="29"/>
          <w:szCs w:val="29"/>
          <w:u w:val="single"/>
        </w:rPr>
        <w:t>POST-AWARD</w:t>
      </w: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end"/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Use UNTHSC financial systems to track budgets, expenses, and encumbrances and generate projections.</w:t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F40FEA">
        <w:rPr>
          <w:rFonts w:asciiTheme="majorHAnsi" w:eastAsia="Times New Roman" w:hAnsiTheme="majorHAnsi" w:cs="Arial"/>
          <w:color w:val="212330"/>
          <w:sz w:val="21"/>
          <w:szCs w:val="21"/>
        </w:rPr>
        <w:t>Assure PI is spending in accordance to UNTHSC and sponsor guidelines</w:t>
      </w: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 and that costs are allowable, reasonable, applicable and consistent.    </w:t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Structure and track cost share commitments and expenditures</w:t>
      </w:r>
      <w:r w:rsidRPr="00F40FEA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.  </w:t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20FB9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Work with PI to ensure timely progress reporting, </w:t>
      </w:r>
      <w:r>
        <w:rPr>
          <w:rFonts w:asciiTheme="majorHAnsi" w:eastAsia="Times New Roman" w:hAnsiTheme="majorHAnsi" w:cs="Arial"/>
          <w:color w:val="212330"/>
          <w:sz w:val="21"/>
          <w:szCs w:val="21"/>
        </w:rPr>
        <w:t>review of expenditure data, cost transfer, r</w:t>
      </w:r>
      <w:r w:rsidRPr="00C20FB9">
        <w:rPr>
          <w:rFonts w:asciiTheme="majorHAnsi" w:eastAsia="Times New Roman" w:hAnsiTheme="majorHAnsi" w:cs="Arial"/>
          <w:color w:val="212330"/>
          <w:sz w:val="21"/>
          <w:szCs w:val="21"/>
        </w:rPr>
        <w:t>e</w:t>
      </w:r>
      <w:r>
        <w:rPr>
          <w:rFonts w:asciiTheme="majorHAnsi" w:eastAsia="Times New Roman" w:hAnsiTheme="majorHAnsi" w:cs="Arial"/>
          <w:color w:val="212330"/>
          <w:sz w:val="21"/>
          <w:szCs w:val="21"/>
        </w:rPr>
        <w:t>-</w:t>
      </w:r>
      <w:r w:rsidRPr="00C20FB9">
        <w:rPr>
          <w:rFonts w:asciiTheme="majorHAnsi" w:eastAsia="Times New Roman" w:hAnsiTheme="majorHAnsi" w:cs="Arial"/>
          <w:color w:val="212330"/>
          <w:sz w:val="21"/>
          <w:szCs w:val="21"/>
        </w:rPr>
        <w:t>budgeting and no-cost extension requests</w:t>
      </w: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 to </w:t>
      </w:r>
      <w:r w:rsidR="00CB1056">
        <w:rPr>
          <w:rFonts w:asciiTheme="majorHAnsi" w:eastAsia="Times New Roman" w:hAnsiTheme="majorHAnsi" w:cs="Arial"/>
          <w:color w:val="212330"/>
          <w:sz w:val="21"/>
          <w:szCs w:val="21"/>
        </w:rPr>
        <w:t>OSP</w:t>
      </w:r>
      <w:r w:rsidRPr="00C20FB9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.  </w:t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lastRenderedPageBreak/>
        <w:t xml:space="preserve">Interprets and explains regulations, policies and procedures to staff and faculty.  </w:t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Provide requests to staff responsible for preparing payroll, purchasing, and other payable forms to charge expenses to sponsored projects.  </w:t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P</w:t>
      </w:r>
      <w:r w:rsidRPr="00C20FB9">
        <w:rPr>
          <w:rFonts w:asciiTheme="majorHAnsi" w:eastAsia="Times New Roman" w:hAnsiTheme="majorHAnsi" w:cs="Arial"/>
          <w:color w:val="212330"/>
          <w:sz w:val="21"/>
          <w:szCs w:val="21"/>
        </w:rPr>
        <w:t>rovide timely and accurate financial information and reports to PI, and schedule meetings to review as necessary</w:t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Review and approve purchase orders, invoices, subcontract requests, p-card charges, travel, etc.</w:t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Works with Pre-Award, Contracts, and external collaborator on the establishment of subcontract agreement and subrecipient monitoring.</w:t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Maintains complete and accurate financial documentation at all times through the end date of the record retention period as defined by the sponsor and UNTHSC.</w:t>
      </w:r>
    </w:p>
    <w:p w:rsidR="00965CB5" w:rsidRDefault="00965CB5" w:rsidP="00965CB5">
      <w:pPr>
        <w:numPr>
          <w:ilvl w:val="0"/>
          <w:numId w:val="4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>Works with Research accounting as needed to provide accurate and timely invoices and reports to sponsors.</w:t>
      </w:r>
    </w:p>
    <w:bookmarkStart w:id="4" w:name="close"/>
    <w:bookmarkEnd w:id="4"/>
    <w:p w:rsidR="00965CB5" w:rsidRPr="00C128FB" w:rsidRDefault="00965CB5" w:rsidP="00965CB5">
      <w:pPr>
        <w:shd w:val="clear" w:color="auto" w:fill="FFFFFF"/>
        <w:spacing w:before="200" w:after="161" w:line="240" w:lineRule="atLeast"/>
        <w:outlineLvl w:val="2"/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</w:pP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begin"/>
      </w: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instrText xml:space="preserve"> HYPERLINK "http://www.northwestern.edu/asrsp/grant-management/grant-close-out.html" </w:instrText>
      </w: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separate"/>
      </w:r>
      <w:r w:rsidRPr="00C128FB">
        <w:rPr>
          <w:rFonts w:asciiTheme="majorHAnsi" w:eastAsia="Times New Roman" w:hAnsiTheme="majorHAnsi" w:cs="Arial"/>
          <w:b/>
          <w:bCs/>
          <w:caps/>
          <w:color w:val="42396D"/>
          <w:sz w:val="29"/>
          <w:szCs w:val="29"/>
          <w:u w:val="single"/>
        </w:rPr>
        <w:t>CLOSEOUT</w:t>
      </w: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end"/>
      </w:r>
    </w:p>
    <w:p w:rsidR="00965CB5" w:rsidRPr="00C128FB" w:rsidRDefault="00965CB5" w:rsidP="00965CB5">
      <w:pPr>
        <w:numPr>
          <w:ilvl w:val="0"/>
          <w:numId w:val="5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Review all project expenses to ensure completion and compliance, including the funding and spending of any cost share obligations, as well as outgoing subcontracts</w:t>
      </w:r>
    </w:p>
    <w:p w:rsidR="00965CB5" w:rsidRPr="00C128FB" w:rsidRDefault="00965CB5" w:rsidP="00965CB5">
      <w:pPr>
        <w:numPr>
          <w:ilvl w:val="0"/>
          <w:numId w:val="5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Assist PI with closeout reporting</w:t>
      </w:r>
    </w:p>
    <w:p w:rsidR="00965CB5" w:rsidRPr="00C128FB" w:rsidRDefault="00965CB5" w:rsidP="00965CB5">
      <w:pPr>
        <w:numPr>
          <w:ilvl w:val="0"/>
          <w:numId w:val="5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Work with </w:t>
      </w:r>
      <w:r w:rsidR="00CB1056">
        <w:rPr>
          <w:rFonts w:asciiTheme="majorHAnsi" w:eastAsia="Times New Roman" w:hAnsiTheme="majorHAnsi" w:cs="Arial"/>
          <w:color w:val="212330"/>
          <w:sz w:val="21"/>
          <w:szCs w:val="21"/>
        </w:rPr>
        <w:t>OSP</w:t>
      </w:r>
      <w:r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 to c</w:t>
      </w: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omplete closeout documentation and ensure that all reporting requirements are met</w:t>
      </w:r>
    </w:p>
    <w:p w:rsidR="00965CB5" w:rsidRPr="00C128FB" w:rsidRDefault="00965CB5" w:rsidP="00965CB5">
      <w:pPr>
        <w:numPr>
          <w:ilvl w:val="0"/>
          <w:numId w:val="5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Confirm and monitor program income and communicate with </w:t>
      </w:r>
      <w:r w:rsidR="00CB1056">
        <w:rPr>
          <w:rFonts w:asciiTheme="majorHAnsi" w:eastAsia="Times New Roman" w:hAnsiTheme="majorHAnsi" w:cs="Arial"/>
          <w:color w:val="212330"/>
          <w:sz w:val="21"/>
          <w:szCs w:val="21"/>
        </w:rPr>
        <w:t>OSP</w:t>
      </w: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, if applicable</w:t>
      </w:r>
    </w:p>
    <w:bookmarkStart w:id="5" w:name="effort"/>
    <w:bookmarkEnd w:id="5"/>
    <w:p w:rsidR="00965CB5" w:rsidRPr="00C128FB" w:rsidRDefault="00965CB5" w:rsidP="00965CB5">
      <w:pPr>
        <w:shd w:val="clear" w:color="auto" w:fill="FFFFFF"/>
        <w:spacing w:before="200" w:after="161" w:line="240" w:lineRule="atLeast"/>
        <w:outlineLvl w:val="2"/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</w:pP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begin"/>
      </w: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instrText xml:space="preserve"> HYPERLINK "http://www.northwestern.edu/coststudies/effort.html" </w:instrText>
      </w: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separate"/>
      </w:r>
      <w:r w:rsidRPr="00C128FB">
        <w:rPr>
          <w:rFonts w:asciiTheme="majorHAnsi" w:eastAsia="Times New Roman" w:hAnsiTheme="majorHAnsi" w:cs="Arial"/>
          <w:b/>
          <w:bCs/>
          <w:caps/>
          <w:color w:val="42396D"/>
          <w:sz w:val="29"/>
          <w:szCs w:val="29"/>
          <w:u w:val="single"/>
        </w:rPr>
        <w:t>EFFORT REPORTING</w:t>
      </w:r>
      <w:r w:rsidRPr="00C128FB">
        <w:rPr>
          <w:rFonts w:asciiTheme="majorHAnsi" w:eastAsia="Times New Roman" w:hAnsiTheme="majorHAnsi" w:cs="Arial"/>
          <w:b/>
          <w:bCs/>
          <w:caps/>
          <w:color w:val="4E4D53"/>
          <w:sz w:val="29"/>
          <w:szCs w:val="29"/>
        </w:rPr>
        <w:fldChar w:fldCharType="end"/>
      </w:r>
    </w:p>
    <w:p w:rsidR="00965CB5" w:rsidRDefault="00965CB5" w:rsidP="00965CB5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FB1A6D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Serves as effort reporting coordinator </w:t>
      </w:r>
      <w:r>
        <w:rPr>
          <w:rFonts w:asciiTheme="majorHAnsi" w:eastAsia="Times New Roman" w:hAnsiTheme="majorHAnsi" w:cs="Arial"/>
          <w:color w:val="212330"/>
          <w:sz w:val="21"/>
          <w:szCs w:val="21"/>
        </w:rPr>
        <w:t>t</w:t>
      </w:r>
      <w:r w:rsidRPr="00FB1A6D">
        <w:rPr>
          <w:rFonts w:asciiTheme="majorHAnsi" w:eastAsia="Times New Roman" w:hAnsiTheme="majorHAnsi" w:cs="Arial"/>
          <w:color w:val="212330"/>
          <w:sz w:val="21"/>
          <w:szCs w:val="21"/>
        </w:rPr>
        <w:t xml:space="preserve">o ensure accuracy of payroll allocation and effort reporting certifications. </w:t>
      </w:r>
    </w:p>
    <w:p w:rsidR="00965CB5" w:rsidRDefault="00965CB5" w:rsidP="00965CB5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Communicate with PI to track and monitor effort commitments</w:t>
      </w:r>
    </w:p>
    <w:p w:rsidR="00965CB5" w:rsidRPr="00C128FB" w:rsidRDefault="00965CB5" w:rsidP="00965CB5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Communicate with PI to complete salary planning and distribution</w:t>
      </w:r>
    </w:p>
    <w:p w:rsidR="00965CB5" w:rsidRPr="00C128FB" w:rsidRDefault="00965CB5" w:rsidP="00965CB5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Conduct pre- and post- review of effort reports on a timely basis</w:t>
      </w:r>
    </w:p>
    <w:p w:rsidR="00965CB5" w:rsidRPr="00C128FB" w:rsidRDefault="00965CB5" w:rsidP="00965CB5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Communicate with PI about effort in a timely manner</w:t>
      </w:r>
    </w:p>
    <w:p w:rsidR="00965CB5" w:rsidRPr="00C128FB" w:rsidRDefault="00965CB5" w:rsidP="00965CB5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Assist PI to manage effort commitment of project members</w:t>
      </w:r>
    </w:p>
    <w:p w:rsidR="00965CB5" w:rsidRPr="00C128FB" w:rsidRDefault="00965CB5" w:rsidP="00965CB5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Work with PI to certify effort</w:t>
      </w:r>
    </w:p>
    <w:p w:rsidR="00965CB5" w:rsidRPr="00C128FB" w:rsidRDefault="00965CB5" w:rsidP="00965CB5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Monitor effort certification and communicate with PI as needed</w:t>
      </w:r>
    </w:p>
    <w:p w:rsidR="00965CB5" w:rsidRPr="00C128FB" w:rsidRDefault="00965CB5" w:rsidP="00965CB5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Communicate with PI to resolve discrepancies. Report to chair, dean's office and central units for assistance with unresolved issues</w:t>
      </w:r>
    </w:p>
    <w:p w:rsidR="00965CB5" w:rsidRPr="00C128FB" w:rsidRDefault="00965CB5" w:rsidP="00965CB5">
      <w:pPr>
        <w:numPr>
          <w:ilvl w:val="0"/>
          <w:numId w:val="1"/>
        </w:numPr>
        <w:shd w:val="clear" w:color="auto" w:fill="FFFFFF"/>
        <w:spacing w:after="60" w:line="270" w:lineRule="atLeast"/>
        <w:ind w:left="0"/>
        <w:rPr>
          <w:rFonts w:asciiTheme="majorHAnsi" w:eastAsia="Times New Roman" w:hAnsiTheme="majorHAnsi" w:cs="Arial"/>
          <w:color w:val="212330"/>
          <w:sz w:val="21"/>
          <w:szCs w:val="21"/>
        </w:rPr>
      </w:pPr>
      <w:r w:rsidRPr="00C128FB">
        <w:rPr>
          <w:rFonts w:asciiTheme="majorHAnsi" w:eastAsia="Times New Roman" w:hAnsiTheme="majorHAnsi" w:cs="Arial"/>
          <w:color w:val="212330"/>
          <w:sz w:val="21"/>
          <w:szCs w:val="21"/>
        </w:rPr>
        <w:t>Complete Effort Reporting training</w:t>
      </w:r>
    </w:p>
    <w:p w:rsidR="003311AD" w:rsidRDefault="00CB1056"/>
    <w:sectPr w:rsidR="00331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FDA"/>
    <w:multiLevelType w:val="multilevel"/>
    <w:tmpl w:val="0ED0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64FC9"/>
    <w:multiLevelType w:val="multilevel"/>
    <w:tmpl w:val="3D56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171343"/>
    <w:multiLevelType w:val="multilevel"/>
    <w:tmpl w:val="25C8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101831"/>
    <w:multiLevelType w:val="multilevel"/>
    <w:tmpl w:val="9238E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571137"/>
    <w:multiLevelType w:val="multilevel"/>
    <w:tmpl w:val="5CFA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B5"/>
    <w:rsid w:val="001D7C9D"/>
    <w:rsid w:val="002B5FBF"/>
    <w:rsid w:val="00965CB5"/>
    <w:rsid w:val="009C251E"/>
    <w:rsid w:val="00CB1056"/>
    <w:rsid w:val="00D317ED"/>
    <w:rsid w:val="00E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7929"/>
  <w15:docId w15:val="{05D7DD7D-E1BC-468F-88B1-C1EAB93A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r.northwestern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HSC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Lemmon, Kristi</dc:creator>
  <cp:lastModifiedBy>Perfect, Brenden</cp:lastModifiedBy>
  <cp:revision>3</cp:revision>
  <dcterms:created xsi:type="dcterms:W3CDTF">2018-06-25T15:14:00Z</dcterms:created>
  <dcterms:modified xsi:type="dcterms:W3CDTF">2018-06-25T15:16:00Z</dcterms:modified>
</cp:coreProperties>
</file>